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CWE-1112</w:t>
      </w:r>
    </w:p>
    <w:p>
      <w:pPr>
        <w:pStyle w:val="Heading2"/>
      </w:pPr>
      <w:r>
        <w:t>Description</w:t>
      </w:r>
    </w:p>
    <w:p>
      <w:r>
        <w:t>The document does not fully define all mechanisms that are used</w:t>
        <w:br/>
        <w:tab/>
        <w:tab/>
        <w:tab/>
        <w:tab/>
        <w:tab/>
        <w:t>to control or influence how product-specific programs are</w:t>
        <w:br/>
        <w:tab/>
        <w:tab/>
        <w:tab/>
        <w:tab/>
        <w:tab/>
        <w:t>executed.</w:t>
      </w:r>
    </w:p>
    <w:p>
      <w:pPr>
        <w:pStyle w:val="Heading2"/>
      </w:pPr>
      <w:r>
        <w:t>Extended Description</w:t>
      </w:r>
    </w:p>
    <w:p>
      <w:r>
        <w:t>This includes environmental variables, configuration files, registry keys, command-line switches or options, or system settings.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