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CWE-1110</w:t>
      </w:r>
    </w:p>
    <w:p>
      <w:pPr>
        <w:pStyle w:val="Heading2"/>
      </w:pPr>
      <w:r>
        <w:t>Description</w:t>
      </w:r>
    </w:p>
    <w:p>
      <w:r>
        <w:t>The product's design documentation does not adequately describe</w:t>
        <w:br/>
        <w:tab/>
        <w:tab/>
        <w:tab/>
        <w:tab/>
        <w:tab/>
        <w:t>control flow, data flow, system initialization, relationships between tasks,</w:t>
        <w:br/>
        <w:tab/>
        <w:tab/>
        <w:tab/>
        <w:tab/>
        <w:tab/>
        <w:t>components, rationales, or other important aspects of the</w:t>
        <w:br/>
        <w:tab/>
        <w:tab/>
        <w:tab/>
        <w:tab/>
        <w:tab/>
        <w:t>design.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