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CWE-1099</w:t>
      </w:r>
    </w:p>
    <w:p>
      <w:pPr>
        <w:pStyle w:val="Heading2"/>
      </w:pPr>
      <w:r>
        <w:t>Description</w:t>
      </w:r>
    </w:p>
    <w:p>
      <w:r>
        <w:t>The product's code, documentation, or other artifacts do not</w:t>
        <w:br/>
        <w:tab/>
        <w:tab/>
        <w:tab/>
        <w:tab/>
        <w:tab/>
        <w:t>consistently use the same naming conventions for variables, callables, groups of</w:t>
        <w:br/>
        <w:tab/>
        <w:tab/>
        <w:tab/>
        <w:tab/>
        <w:tab/>
        <w:t>related callables, I/O capabilities, data types, file names, or similar types of</w:t>
        <w:br/>
        <w:tab/>
        <w:tab/>
        <w:tab/>
        <w:tab/>
        <w:tab/>
        <w:t>elements.</w:t>
      </w:r>
    </w:p>
    <w:p>
      <w:pPr>
        <w:pStyle w:val="Heading2"/>
      </w:pPr>
      <w:r>
        <w:t>Extended Description</w:t>
      </w:r>
    </w:p>
    <w:p>
      <w:r>
        <w:t>This issue makes it more difficult to understand and/or maintain the product due to inconsistencies,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