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CWE-1083</w:t>
      </w:r>
    </w:p>
    <w:p>
      <w:pPr>
        <w:pStyle w:val="Heading2"/>
      </w:pPr>
      <w:r>
        <w:t>Description</w:t>
      </w:r>
    </w:p>
    <w:p>
      <w:r>
        <w:t>The product is intended to manage data access through a particular data manager component such as a relational or non-SQL database, but it contains code that performs data access operations without using that component.</w:t>
      </w:r>
    </w:p>
    <w:p>
      <w:pPr>
        <w:pStyle w:val="Heading2"/>
      </w:pPr>
      <w:r>
        <w:t>Extended Description</w:t>
      </w:r>
    </w:p>
    <w:p>
      <w:r>
        <w:t>When the product has a data access component, the design may be intended to handle all data access operations through that component.  If a data access operation is performed outside of that component, then this may indicate a violation of the intended design. This issue can prevent the product from running reliably.  If the relevant code is reachable by an attacker, then this reliability problem might introduce a vulnerability.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Reliability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