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CWE-1075</w:t>
      </w:r>
    </w:p>
    <w:p>
      <w:pPr>
        <w:pStyle w:val="Heading2"/>
      </w:pPr>
      <w:r>
        <w:t>Description</w:t>
      </w:r>
    </w:p>
    <w:p>
      <w:r>
        <w:t>The product performs unconditional control transfer (such as a</w:t>
        <w:br/>
        <w:tab/>
        <w:tab/>
        <w:tab/>
        <w:tab/>
        <w:tab/>
        <w:t>"goto") in code outside of a branching structure such as a switch</w:t>
        <w:br/>
        <w:tab/>
        <w:tab/>
        <w:tab/>
        <w:tab/>
        <w:tab/>
        <w:t>block.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