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CWE-1070</w:t>
      </w:r>
    </w:p>
    <w:p>
      <w:pPr>
        <w:pStyle w:val="Heading2"/>
      </w:pPr>
      <w:r>
        <w:t>Description</w:t>
      </w:r>
    </w:p>
    <w:p>
      <w:r>
        <w:t>The product contains a serializable, storable data element such as a field or member,</w:t>
        <w:br/>
        <w:tab/>
        <w:tab/>
        <w:tab/>
        <w:tab/>
        <w:tab/>
        <w:t>but the data element contains member elements that are not</w:t>
        <w:br/>
        <w:tab/>
        <w:tab/>
        <w:tab/>
        <w:tab/>
        <w:tab/>
        <w:t>serializable.</w:t>
      </w:r>
    </w:p>
    <w:p>
      <w:pPr>
        <w:pStyle w:val="Heading2"/>
      </w:pPr>
      <w:r>
        <w:t>Extended Description</w:t>
      </w:r>
    </w:p>
    <w:p>
      <w:r>
        <w:t>This issue can prevent the product from running reliably.  If the relevant code is reachable by an attacker, then this reliability problem might introduce a vulnerability. As examples, the serializable nature of a data element comes from a serializable SerializableAttribute attribute in .NET and the inheritance from the java.io.Serializable interface in Java.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Reliability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