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CWE-1049</w:t>
      </w:r>
    </w:p>
    <w:p>
      <w:pPr>
        <w:pStyle w:val="Heading2"/>
      </w:pPr>
      <w:r>
        <w:t>Description</w:t>
      </w:r>
    </w:p>
    <w:p>
      <w:r>
        <w:t>The product performs a data query with a large number of joins</w:t>
        <w:br/>
        <w:tab/>
        <w:tab/>
        <w:tab/>
        <w:tab/>
        <w:tab/>
        <w:t>and sub-queries on a large data table.</w:t>
      </w:r>
    </w:p>
    <w:p>
      <w:pPr>
        <w:pStyle w:val="Heading2"/>
      </w:pPr>
      <w:r>
        <w:t>Extended Description</w:t>
      </w:r>
    </w:p>
    <w:p>
      <w:r>
        <w:t>This issue can make the product perform more slowly.  If the relevant code is reachable by an attacker, then this performance problem might introduce a vulnerability. While the interpretation of "large data table" and "large number of joins or sub-queries" may vary for each product or developer, CISQ recommends a default of 1 million rows for a "large" data table, a default minimum of 5 joins, and a default minimum of 3 sub-queries.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