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CWE-1048</w:t>
      </w:r>
    </w:p>
    <w:p>
      <w:pPr>
        <w:pStyle w:val="Heading2"/>
      </w:pPr>
      <w:r>
        <w:t>Description</w:t>
      </w:r>
    </w:p>
    <w:p>
      <w:r>
        <w:t>The code contains callable control elements that</w:t>
        <w:br/>
        <w:t xml:space="preserve">         contain an excessively large number of references to other</w:t>
        <w:br/>
        <w:t xml:space="preserve">         application objects external to the context of the callable,</w:t>
        <w:br/>
        <w:t xml:space="preserve">         i.e. a Fan-Out value that is excessively large.</w:t>
      </w:r>
    </w:p>
    <w:p>
      <w:pPr>
        <w:pStyle w:val="Heading2"/>
      </w:pPr>
      <w:r>
        <w:t>Extended Description</w:t>
      </w:r>
    </w:p>
    <w:p>
      <w:r>
        <w:t>While the interpretation of "excessively large Fan-Out value" may vary for each product or developer, CISQ recommends a default of 5 referenced objects. This issue makes it more difficult to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