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CWE-1043</w:t>
      </w:r>
    </w:p>
    <w:p>
      <w:pPr>
        <w:pStyle w:val="Heading2"/>
      </w:pPr>
      <w:r>
        <w:t>Description</w:t>
      </w:r>
    </w:p>
    <w:p>
      <w:r>
        <w:t>The product uses a data element that has an excessively large</w:t>
        <w:br/>
        <w:tab/>
        <w:tab/>
        <w:tab/>
        <w:tab/>
        <w:tab/>
        <w:t>number of sub-elements with non-primitive data types such as structures or aggregated objects.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 While the interpretation of "excessively large" may vary for each product or developer, CISQ recommends a default of 5 sub-elements.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