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CVE-2022-38399</w:t>
      </w:r>
    </w:p>
    <w:p>
      <w:r>
        <w:t>Missing protection mechanism for alternate hardware interface in SmaCam CS-QR10 all versions and SmaCam Night Vision CS-QR20 all versions allows an attacker to execute an arbitrary OS command by having the product connect to the product's specific serial connection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0.16213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cpe:2.3:o:planex:cs-qr20_firmware:*:*:*:*:*:*:*:*</w:t>
      </w:r>
    </w:p>
    <w:p>
      <w:pPr>
        <w:pStyle w:val="ListBullet"/>
      </w:pPr>
      <w:r>
        <w:t>cpe:2.3:o:planex:cs-qr10_firmware:*:*:*:*:*:*:*:*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