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CVE-2016-4029</w:t>
      </w:r>
    </w:p>
    <w:p>
      <w:r>
        <w:t>WordPress before 4.5 does not consider octal and hexadecimal IP address formats when determining an intranet address, which allows remote attackers to bypass an intended SSRF protection mechanism via a crafted address.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0.66219</w:t>
      </w:r>
    </w:p>
    <w:p>
      <w:pPr>
        <w:pStyle w:val="Heading2"/>
      </w:pPr>
      <w:r>
        <w:t>CVSS Scoring</w:t>
      </w:r>
    </w:p>
    <w:p>
      <w:r>
        <w:t>CVSS v3.1 Score: 8.6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CWE-918: Server-Side Request Forgery (SSRF)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CAPEC-664: Server Side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cpe:2.3:a:wordpress:wordpress:*:*:*:*:*:*:*:*</w:t>
      </w:r>
    </w:p>
    <w:p>
      <w:pPr>
        <w:pStyle w:val="ListBullet"/>
      </w:pPr>
      <w:r>
        <w:t>cpe:2.3:o:debian:debian_linux:8.0:*:*:*:*:*:*:*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