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CVE-2004-2397</w:t>
      </w:r>
    </w:p>
    <w:p>
      <w:r>
        <w:t>The web-based Management Console in Blue Coat Security Gateway OS 3.0 through 3.1.3.13 and 3.2.1, when importing a private key, stores the key and its passphrase in plaintext in a log file, which allows attackers to steal digital certificates.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0.56092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cpe:2.3:o:broadcom:bluecoat_security_gateway:*:*:*:*:*:*:*:*</w:t>
      </w:r>
    </w:p>
    <w:p>
      <w:pPr>
        <w:pStyle w:val="ListBullet"/>
      </w:pPr>
      <w:r>
        <w:t>cpe:2.3:o:broadcom:bluecoat_security_gateway:3.2.1:*:*:*:*:*:*:*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